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771" w:rsidRPr="00A31885" w:rsidRDefault="005B37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hAnsiTheme="majorHAnsi" w:cstheme="majorHAnsi"/>
        </w:rPr>
      </w:pPr>
      <w:bookmarkStart w:id="0" w:name="_GoBack"/>
      <w:bookmarkEnd w:id="0"/>
    </w:p>
    <w:tbl>
      <w:tblPr>
        <w:tblStyle w:val="a"/>
        <w:tblW w:w="1046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6"/>
        <w:gridCol w:w="8324"/>
      </w:tblGrid>
      <w:tr w:rsidR="005B3771" w:rsidRPr="00A31885">
        <w:trPr>
          <w:trHeight w:val="200"/>
        </w:trPr>
        <w:tc>
          <w:tcPr>
            <w:tcW w:w="10460" w:type="dxa"/>
            <w:gridSpan w:val="2"/>
            <w:shd w:val="clear" w:color="auto" w:fill="DEEBF6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bookmarkStart w:id="1" w:name="_gjdgxs" w:colFirst="0" w:colLast="0"/>
            <w:bookmarkEnd w:id="1"/>
            <w:r w:rsidRPr="00A31885">
              <w:rPr>
                <w:rFonts w:asciiTheme="majorHAnsi" w:hAnsiTheme="majorHAnsi" w:cstheme="majorHAnsi"/>
                <w:b/>
              </w:rPr>
              <w:t xml:space="preserve">Цел на политиката (ЦП) 4 „По-социална Европа — реализиране на европейския стълб на социалните права“ </w:t>
            </w:r>
          </w:p>
        </w:tc>
      </w:tr>
      <w:tr w:rsidR="005B3771" w:rsidRPr="00A31885">
        <w:trPr>
          <w:trHeight w:val="200"/>
        </w:trPr>
        <w:tc>
          <w:tcPr>
            <w:tcW w:w="10460" w:type="dxa"/>
            <w:gridSpan w:val="2"/>
            <w:shd w:val="clear" w:color="auto" w:fill="DEEBF6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t xml:space="preserve">Специфична цел iv „Подобряване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 </w:t>
            </w:r>
          </w:p>
        </w:tc>
      </w:tr>
      <w:tr w:rsidR="005B3771" w:rsidRPr="00A31885">
        <w:trPr>
          <w:trHeight w:val="660"/>
        </w:trPr>
        <w:tc>
          <w:tcPr>
            <w:tcW w:w="10460" w:type="dxa"/>
            <w:gridSpan w:val="2"/>
            <w:shd w:val="clear" w:color="auto" w:fill="DEEBF6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t xml:space="preserve">Нужди (Анекс Г) 4.3. Създаване на качествено приобщаващо училищно образование. Обезпечаване на придобиването на основни и цифрови умения и насърчаване на приобщаването в сферата на образованието и обучението. </w:t>
            </w:r>
          </w:p>
        </w:tc>
      </w:tr>
      <w:tr w:rsidR="005B3771" w:rsidRPr="00A31885">
        <w:trPr>
          <w:trHeight w:val="1540"/>
        </w:trPr>
        <w:tc>
          <w:tcPr>
            <w:tcW w:w="2136" w:type="dxa"/>
            <w:shd w:val="clear" w:color="auto" w:fill="EDEDED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t xml:space="preserve">1. Цели и резултати </w:t>
            </w:r>
          </w:p>
        </w:tc>
        <w:tc>
          <w:tcPr>
            <w:tcW w:w="8324" w:type="dxa"/>
            <w:shd w:val="clear" w:color="auto" w:fill="auto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i/>
              </w:rPr>
            </w:pPr>
            <w:r w:rsidRPr="00A31885">
              <w:rPr>
                <w:rFonts w:asciiTheme="majorHAnsi" w:hAnsiTheme="majorHAnsi" w:cstheme="majorHAnsi"/>
                <w:i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5B3771" w:rsidRPr="00A31885" w:rsidRDefault="00BD69A9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Повишаване на владеенето на ключови умения за успех на XXI век (с акцент върху цифрови, дигитални умения, </w:t>
            </w:r>
            <w:r w:rsidR="00A31885" w:rsidRPr="00A31885">
              <w:rPr>
                <w:rFonts w:asciiTheme="majorHAnsi" w:eastAsia="Arial" w:hAnsiTheme="majorHAnsi" w:cstheme="majorHAnsi"/>
                <w:color w:val="000000"/>
              </w:rPr>
              <w:t>нагласа за учене през целия живот, вяра във възможностите на всеки ученик и позитивно отношение към приобщаващото образование) у учителите</w:t>
            </w:r>
            <w:r w:rsidRPr="00A31885">
              <w:rPr>
                <w:rFonts w:asciiTheme="majorHAnsi" w:hAnsiTheme="majorHAnsi" w:cstheme="majorHAnsi"/>
              </w:rPr>
              <w:t>, при които се идентифицира нужда от подкрепа в тези насоки.</w:t>
            </w:r>
          </w:p>
          <w:p w:rsidR="005B3771" w:rsidRPr="00A31885" w:rsidRDefault="00BD69A9">
            <w:pPr>
              <w:numPr>
                <w:ilvl w:val="0"/>
                <w:numId w:val="1"/>
              </w:num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Повишаване на подготовката (капацитета) на педагогически специалисти за развиване на ключови отношения и  умения у учениците (четивна, математическа, дигитална грамотност; социално-емоционални умения, …) чрез структуриране и поднасяне на учебен материал по иновативен и интересен начин, съобразен с нуждите на учениците през XXI век;</w:t>
            </w:r>
          </w:p>
          <w:p w:rsidR="005B3771" w:rsidRPr="00A31885" w:rsidRDefault="00BD69A9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Повишаване интереса към училищното образование, мотивацията за учене и личностно развитие и приобщаване към училище на ученици от уязвими общности;</w:t>
            </w:r>
          </w:p>
          <w:p w:rsidR="005B3771" w:rsidRPr="00A31885" w:rsidRDefault="00BD69A9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Повишаване на образователните постижения на ученици от уязвими социално-икономически групи, чрез развиване на ключови умения (четивна, математическа, дигитална грамотност; социално-емоционални умения, …);</w:t>
            </w:r>
          </w:p>
          <w:p w:rsidR="005B3771" w:rsidRPr="00A31885" w:rsidRDefault="00BD69A9">
            <w:pPr>
              <w:numPr>
                <w:ilvl w:val="0"/>
                <w:numId w:val="1"/>
              </w:num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Повишаване на образователните резултати на ученици, които говорят език, различен от български в семейството, чрез разработване на методология за приобщаването им към учебния процес и преодоляване  на дефицитите им; </w:t>
            </w:r>
          </w:p>
          <w:p w:rsidR="005B3771" w:rsidRPr="00A31885" w:rsidRDefault="005B3771">
            <w:pPr>
              <w:spacing w:after="120"/>
              <w:rPr>
                <w:rFonts w:asciiTheme="majorHAnsi" w:hAnsiTheme="majorHAnsi" w:cstheme="majorHAnsi"/>
              </w:rPr>
            </w:pP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i/>
              </w:rPr>
            </w:pPr>
            <w:r w:rsidRPr="00A31885">
              <w:rPr>
                <w:rFonts w:asciiTheme="majorHAnsi" w:hAnsiTheme="majorHAnsi" w:cstheme="majorHAnsi"/>
                <w:i/>
              </w:rPr>
              <w:t>Посочете ясни резултати, които трябва да бъдат постигнати за преодоляване на идентифицираните в т. 3 нужди и предизвикателства.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i/>
              </w:rPr>
              <w:t>Моля съобразете с основния набор от показатели за резултатите на ЕСФ+, посочени в Приложение I на проект на Регламент за ЕСФ+ COM(2018) 382</w:t>
            </w:r>
          </w:p>
        </w:tc>
      </w:tr>
      <w:tr w:rsidR="005B3771" w:rsidRPr="00A31885">
        <w:trPr>
          <w:trHeight w:val="1060"/>
        </w:trPr>
        <w:tc>
          <w:tcPr>
            <w:tcW w:w="2136" w:type="dxa"/>
            <w:shd w:val="clear" w:color="auto" w:fill="EDEDED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t>2. Продукти</w:t>
            </w:r>
          </w:p>
        </w:tc>
        <w:tc>
          <w:tcPr>
            <w:tcW w:w="8324" w:type="dxa"/>
            <w:shd w:val="clear" w:color="auto" w:fill="auto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i/>
              </w:rPr>
            </w:pPr>
            <w:r w:rsidRPr="00A31885">
              <w:rPr>
                <w:rFonts w:asciiTheme="majorHAnsi" w:hAnsiTheme="majorHAnsi" w:cstheme="majorHAnsi"/>
                <w:i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ЕСФ+, посочени в Приложение I на проект на Регламент за ЕСФ+ COM(2018) 382</w:t>
            </w:r>
          </w:p>
          <w:p w:rsidR="005B3771" w:rsidRPr="00A31885" w:rsidRDefault="00BD69A9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lastRenderedPageBreak/>
              <w:t xml:space="preserve">Обучения за учители, насочени към структуриране и поднасяне на учебен материал по иновативен и интересен начин, съобразен с нуждите на учениците през XXI век; </w:t>
            </w:r>
            <w:r w:rsidRPr="00A31885">
              <w:rPr>
                <w:rFonts w:asciiTheme="majorHAnsi" w:hAnsiTheme="majorHAnsi" w:cstheme="majorHAnsi"/>
                <w:highlight w:val="white"/>
              </w:rPr>
              <w:t xml:space="preserve">Обхват: 10000 педагогически специалисти </w:t>
            </w:r>
          </w:p>
          <w:p w:rsidR="005B3771" w:rsidRPr="00A31885" w:rsidRDefault="00BD69A9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Надграждащи обучения и квалификация за педагогически специалисти, насочени към развиване на ключови отношения и умения на XXI век у учениците (четивна, математическа, дигитална грамотност; гр</w:t>
            </w:r>
            <w:r w:rsidRPr="00A31885">
              <w:rPr>
                <w:rFonts w:asciiTheme="majorHAnsi" w:hAnsiTheme="majorHAnsi" w:cstheme="majorHAnsi"/>
                <w:highlight w:val="white"/>
              </w:rPr>
              <w:t>ажданска активност,  социално-емоционални умения, …) Обхват: 10000 педагогически специалисти в прогимназиален и гимназиален етап, 5000 педагогически специалисти в начален етап</w:t>
            </w:r>
          </w:p>
          <w:p w:rsidR="005B3771" w:rsidRPr="00A31885" w:rsidRDefault="00BD69A9">
            <w:pPr>
              <w:numPr>
                <w:ilvl w:val="0"/>
                <w:numId w:val="3"/>
              </w:num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О</w:t>
            </w:r>
            <w:r w:rsidRPr="00A31885">
              <w:rPr>
                <w:rFonts w:asciiTheme="majorHAnsi" w:hAnsiTheme="majorHAnsi" w:cstheme="majorHAnsi"/>
                <w:highlight w:val="white"/>
              </w:rPr>
              <w:t xml:space="preserve">бучения и квалификация на учители за работа с ученици, които говорят език, различен от български вкъщи; Обхват - 1000 педагогически специалиста в начален етап за целия период на програмата </w:t>
            </w:r>
          </w:p>
        </w:tc>
      </w:tr>
      <w:tr w:rsidR="005B3771" w:rsidRPr="00A31885">
        <w:trPr>
          <w:trHeight w:val="1080"/>
        </w:trPr>
        <w:tc>
          <w:tcPr>
            <w:tcW w:w="2136" w:type="dxa"/>
            <w:shd w:val="clear" w:color="auto" w:fill="EDEDED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lastRenderedPageBreak/>
              <w:t>3.Нужди и предизвикателства</w:t>
            </w:r>
          </w:p>
        </w:tc>
        <w:tc>
          <w:tcPr>
            <w:tcW w:w="8324" w:type="dxa"/>
            <w:shd w:val="clear" w:color="auto" w:fill="auto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i/>
              </w:rPr>
            </w:pPr>
            <w:r w:rsidRPr="00A31885">
              <w:rPr>
                <w:rFonts w:asciiTheme="majorHAnsi" w:hAnsiTheme="majorHAnsi" w:cstheme="majorHAnsi"/>
                <w:i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i/>
              </w:rPr>
            </w:pPr>
            <w:r w:rsidRPr="00A31885">
              <w:rPr>
                <w:rFonts w:asciiTheme="majorHAnsi" w:hAnsiTheme="majorHAnsi" w:cstheme="majorHAnsi"/>
                <w:i/>
              </w:rPr>
              <w:t>Моля да попълните в размер не повече от 3 страници.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Придобиването на ключови умения за успех на XXi век е от изключителна важност за учениците от непривилегировани общности с нисък социално-икономически статус. Tези умения дават в ръцете на учениците ключа, който може да прекъсне порочния кръг на бедността. И обратното – липсата на тези умения днес почти сигурно води до задълбочаване на бедността и пълно социално изключване. В последните десетилетия изследванията в образованието все повече да се насочват към определянето какви точно са тези умения и как си взаимодействат. Разбирането ни за уменията на 21-ви век стъпва на четири ключови рамки: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•</w:t>
            </w:r>
            <w:r w:rsidRPr="00A31885">
              <w:rPr>
                <w:rFonts w:asciiTheme="majorHAnsi" w:hAnsiTheme="majorHAnsi" w:cstheme="majorHAnsi"/>
              </w:rPr>
              <w:tab/>
              <w:t xml:space="preserve"> Четирите стълба на образованието на ЮНЕСКО (Delors, 1996);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•</w:t>
            </w:r>
            <w:r w:rsidRPr="00A31885">
              <w:rPr>
                <w:rFonts w:asciiTheme="majorHAnsi" w:hAnsiTheme="majorHAnsi" w:cstheme="majorHAnsi"/>
              </w:rPr>
              <w:tab/>
              <w:t xml:space="preserve"> Дефиниция и избор на умения на Организацията за икономическо сътрудничество и развитие (Definition and Selection of Key Competencies: Executive Summary);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•</w:t>
            </w:r>
            <w:r w:rsidRPr="00A31885">
              <w:rPr>
                <w:rFonts w:asciiTheme="majorHAnsi" w:hAnsiTheme="majorHAnsi" w:cstheme="majorHAnsi"/>
              </w:rPr>
              <w:tab/>
              <w:t xml:space="preserve"> Партньорство за умения на 21-ви век (P21);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•</w:t>
            </w:r>
            <w:r w:rsidRPr="00A31885">
              <w:rPr>
                <w:rFonts w:asciiTheme="majorHAnsi" w:hAnsiTheme="majorHAnsi" w:cstheme="majorHAnsi"/>
              </w:rPr>
              <w:tab/>
              <w:t xml:space="preserve"> Нова визия за образованието на Световния икономически форум (WEF, 2015).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За целите на настоящото предложение се фокусираме върху три основни групи умения </w:t>
            </w:r>
          </w:p>
          <w:p w:rsidR="005B3771" w:rsidRPr="00A31885" w:rsidRDefault="00BD69A9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Умения за успех на XXIви век (четивна, математическа, цифрова грамотност, ключови компетентности в сферата на природните  науки, гражданска активност, умения за работа в екип, кариерно ориентиране); </w:t>
            </w:r>
          </w:p>
          <w:p w:rsidR="005B3771" w:rsidRPr="00A31885" w:rsidRDefault="00BD69A9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Социално-емоционални умения; </w:t>
            </w:r>
          </w:p>
          <w:p w:rsidR="005B3771" w:rsidRPr="00A31885" w:rsidRDefault="00BD69A9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Овладяване на български език от ученици, които не говорят на български в семейството;</w:t>
            </w:r>
          </w:p>
          <w:p w:rsidR="005B3771" w:rsidRPr="00A31885" w:rsidRDefault="00BD69A9">
            <w:pPr>
              <w:numPr>
                <w:ilvl w:val="0"/>
                <w:numId w:val="4"/>
              </w:num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  <w:highlight w:val="white"/>
              </w:rPr>
              <w:t>Ефективно оползотворяване на целодневната организация на учебния ден с цел преодоляване на дефицити и овладяване на ключови умения в най-ранна възраст.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lastRenderedPageBreak/>
              <w:t>Умения за успех на XXIви век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Неравностойното социално-икономическо положение все още е ключов фактор за ниското равнище на умения и ниските образователни резултати в контекста на значителни несъответствия между търсените и предлаганите умения, както и техния недостиг. Въпреки че се изпълняват редица мерки за подобряване на качеството и равенството в образователния подход, съществуващите данни показват, че са налице важни пропуски в придобиването на основни и цифрови умения. В данните от PISA за 2015 г. се посочва, че около 40 % от подрастващите в България не притежават основни компетентности в областта на четенето, математиката или науката, като процентът на ниски резултати е над 60 % сред учениците в неравностойно положение (ОИСР, 2016 г).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През последните години в България се наблюдава увеличаване на броя на учениците с много ниско равнище на възприемане на текст при четене. Сравнението между постиженията на българските 15-годишни ученици в областта на грамотността по четене показва низходяща тенденция.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Резултатите от стандартизираните тестове PISA показват, че българските ученици сериозно изостават и по отношение на математическата си грамотност в сравнение с връстниците си от други европейски държави. В този контекст в специфичните за всяка държава препоръки от 2019 г. България се призовава да подобри качеството, приложимостта за пазара на труда и приобщаващия характер на образованието и обучението, по-специално за ромите и другите групи в неравностойно положение.  (Мониторинг на образованието и обучението, ЕК 2019). Препоръката е продиктувана и от факта, че докато учениците, които не принадлежат към уязвими групи наваксват невъзможността на училището да изгради в тях нужните умения посредством извънкласни дейности, уроци и курсове, то учениците от уязвими групи по-често нямат достъп до такива компенсаторни структури, било то поради липсата им в населените места, където живеят или по финансови причини. Тази разлика в достъпа до възможности допълнително задълбочава неравенството и ролята на училището за учениците в неравностойно положение тук е ключова.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Хората с ниски  нива на умения за успех на XXIви век трудно развиват професионални умения и получават предимно ниско платена работа. (EU Skills Panorama (2014) Literacy and numeracy Analytical Highlight, prepared by ICF and Cedefop for the European Commission) Грамотностите са пряко свързани с усвояването на материала и успеха на учениците по останалите предмети. (Пак там.) Децата на родители с ниска грамотност в над 80% от случаите страдат от същия проблем, феноменът се нарича цикъл на неграмотността (cycle of illiteracy). Последният е пряко свързан с цикъла на бедността (cycle of poverty). За ученици с ниска грамотност съществува много по-голяма вероятност да извършат престъпление в сравнение с техните връстници.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Хората с високи нива на умения имат по голяма вероятност да са умствено и физически здрави, да живеят по-дълго, да бъдат по-продуктивни и удовлетворени на работа; както има по-малка вероятност да изпаднат в състояние на трайна безработица и бедност.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lastRenderedPageBreak/>
              <w:t>Социално-емоционални умения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Обзор на образованието и обучението, ЕК, 2019 отчита, че в България  нуждата от обучение в областта на поведението на учениците и управлението на класната стая, както и в областта на преподаването в мултикултурна или многоезикова среда е по-висока от средните стойности за проучените 23 европейски държави (22 % в сравнение с EС-23: 12,5 % и 21 % в сравнение с EС-23: 13 %.) Според представително изследване на ПУ “Паисий Хилендарски”, повече от половината учители в България срещат затруднения в овладяване на поведението на своите ученици и това е една от основните причини за чувството им за неудовлетвореност и професионално прегаряне.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Развиването на социално-емоционални умения у учениците е ключово за справяне с това предизвикателство. Последните представляват група от умения, сред които успешно разрешаване на конфликти, грижа за собственото здраве и за здравето на околните, уважение, отговорност, етично и съпричастно поведение, гражданско образование. Според едно изследване от 2011 година,  проведено с повече от 270,000 ученици по целия свят, участвалите в програми за развиване на социално - емоционални умения демонстрират 11 пункта повишение на академичните си резултати в сравнение с връстници, които не са обхванати от тези програми. Сред постигнатото от учениците се наблюдава подобрение на дисциплината, повишена способност за преодоляване на стрес и депресия, както и подобрено поведение спрямо връстниците и учителите.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Според изследване, проведено през 2015 от Американския институт по предприемачество и института Брукингс (https://casel.org/impact/), социално-емоционалните умения са критично важни за дългосрочния успех и конкурентоспособност на всички ученици в съвременната икономика.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Изследване, проведено в рамките на финансирания от Европейската комисия проект Learning to Be (</w:t>
            </w:r>
            <w:hyperlink r:id="rId7">
              <w:r w:rsidRPr="00A31885">
                <w:rPr>
                  <w:rFonts w:asciiTheme="majorHAnsi" w:hAnsiTheme="majorHAnsi" w:cstheme="majorHAnsi"/>
                  <w:u w:val="single"/>
                </w:rPr>
                <w:t>https://learningtobe.net/</w:t>
              </w:r>
            </w:hyperlink>
            <w:r w:rsidRPr="00A31885">
              <w:rPr>
                <w:rFonts w:asciiTheme="majorHAnsi" w:hAnsiTheme="majorHAnsi" w:cstheme="majorHAnsi"/>
              </w:rPr>
              <w:t>) показват много по-голям напредък на учениците и по-висока добавена стойност на развиването на социално-емоционални уениня при учениците в начален етап на образованието и затова смятаме, че е важно по-голяма част от усилията да се насочат именно в тази възрастова група.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t>Овладяване на български език от ученици, които не говорят на български в семейството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Неравенството в постиженията на учениците според техния произход, демонстрирано от PISA, е критично високо. Разликата в резултатите на ученици от селски и от градски райони е 2 години училищно обучение. Едва 13% от децата в неравностойно положение постигат високи резултати. 41те процента 15-годишни  под прага на четивна грамотност не могат да прочетат и разберат материали от всекидневието – листовка на лекарства или електроуред, бланки за документи, обява за работа или жилище и т.н.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Проблемът е особено остър при ученици, които изостават по отношение на  овладяването на българския език, защото не го говорят в семейството. Ето защо овладяването и прилагането на компетентностите по български език и литература, </w:t>
            </w:r>
            <w:r w:rsidRPr="00A31885">
              <w:rPr>
                <w:rFonts w:asciiTheme="majorHAnsi" w:hAnsiTheme="majorHAnsi" w:cstheme="majorHAnsi"/>
              </w:rPr>
              <w:lastRenderedPageBreak/>
              <w:t xml:space="preserve">определени с държавния образователен стандарт за общообразователната подготовка са непосилни за тях. Децата, които не говорят български вкъщи, посещават детска градина по-рядко и е много по-вероятно да отпаднат от училище. В контекста  на специфичните за всяка държава препоръки от 2019 г. България се призовава да подобри качеството, приложимостта за пазара на труда и приобщаващия характер на образованието и обучението, по-специално за ромите и другите групи в неравностойно положение. 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Необходимо е да се създадат специални програми, които позволяват преодоляване на езиковите дефицити у учениците, които не владеят в достатъчна степен български и които могат да бъдат успешно комбинирани с преподаването на предмети от учебната програма. Подобна методология съществуват за овладяването на други езици и освен създаването й, необходимо е да бъдат обучени и преподаватели за прилагането й в класната стая. </w:t>
            </w:r>
          </w:p>
        </w:tc>
      </w:tr>
      <w:tr w:rsidR="005B3771" w:rsidRPr="00A31885">
        <w:trPr>
          <w:trHeight w:val="800"/>
        </w:trPr>
        <w:tc>
          <w:tcPr>
            <w:tcW w:w="2136" w:type="dxa"/>
            <w:shd w:val="clear" w:color="auto" w:fill="EDEDED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lastRenderedPageBreak/>
              <w:t>4. Дейности</w:t>
            </w:r>
          </w:p>
        </w:tc>
        <w:tc>
          <w:tcPr>
            <w:tcW w:w="8324" w:type="dxa"/>
            <w:shd w:val="clear" w:color="auto" w:fill="auto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i/>
              </w:rPr>
            </w:pPr>
            <w:r w:rsidRPr="00A31885">
              <w:rPr>
                <w:rFonts w:asciiTheme="majorHAnsi" w:hAnsiTheme="majorHAnsi" w:cstheme="majorHAnsi"/>
                <w:i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:rsidR="005B3771" w:rsidRPr="00A31885" w:rsidRDefault="00BD69A9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Развиване на умения и отношения за успех на 21 век у учениците: 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Разработване на учебно съдържание / учебни програми, насочени към развиване на умения за успех на 21 век, с фокус преодоляване на дефицитите на ученици от уязвими общности (ключови умения, овладяване на български език и др.).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Разработване и провеждане на обучения за учители за развиване на умения за успех на 21 век, интегриращи развитието на умения у учителите, когато е необходимо.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spacing w:after="200" w:line="276" w:lineRule="auto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Организиране на форуми и други структури за споделяне на добри практики за развиване на умения за успех на 21 век у учениците.</w:t>
            </w:r>
          </w:p>
          <w:p w:rsidR="005B3771" w:rsidRPr="00A31885" w:rsidRDefault="00BD69A9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Развиване на социално-емоционални умения у учениците: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Разработване на учебно съдържание / учебни програми, насочени към развиване на социално-емоционални умения у учениците, с фокус начален етап.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Разработване и провеждане на обучения за учители за развиване на социално-емоционални умения у учениците, интегриращи развитието на умения у учителите, когато е необходимо.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spacing w:after="200" w:line="276" w:lineRule="auto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Организиране на форуми и други структури за споделяне на добри практики за развиване на социално-емоционални умения у учениците.</w:t>
            </w:r>
          </w:p>
          <w:p w:rsidR="005B3771" w:rsidRPr="00A31885" w:rsidRDefault="00BD69A9">
            <w:pPr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Разработване на програма за работа с ученици, за които българският език не е майчин: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spacing w:line="276" w:lineRule="auto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Разработване на методика за преподаване на български език като втори език за ученици в начален етап (1-4 клас) - езикова диагностика за определяне на нивото на владеене на български език при деца с </w:t>
            </w:r>
            <w:r w:rsidRPr="00A31885">
              <w:rPr>
                <w:rFonts w:asciiTheme="majorHAnsi" w:hAnsiTheme="majorHAnsi" w:cstheme="majorHAnsi"/>
              </w:rPr>
              <w:lastRenderedPageBreak/>
              <w:t>друг майчин език; езикови упражнения, базиращи се на визуално-игрова основа.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spacing w:after="200" w:line="276" w:lineRule="auto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Разработване и провеждане на обучения за учители, които да прилагат методика за преподаване на български език като втори език.</w:t>
            </w:r>
          </w:p>
          <w:p w:rsidR="005B3771" w:rsidRPr="00A31885" w:rsidRDefault="00BD69A9">
            <w:pPr>
              <w:numPr>
                <w:ilvl w:val="1"/>
                <w:numId w:val="2"/>
              </w:numPr>
              <w:spacing w:after="200" w:line="276" w:lineRule="auto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 xml:space="preserve">Организиране на форуми и други структури за споделяне на добри практики при работа с деца,  за които българският език не е майчин.  </w:t>
            </w:r>
          </w:p>
        </w:tc>
      </w:tr>
      <w:tr w:rsidR="005B3771" w:rsidRPr="00A31885">
        <w:trPr>
          <w:trHeight w:val="740"/>
        </w:trPr>
        <w:tc>
          <w:tcPr>
            <w:tcW w:w="2136" w:type="dxa"/>
            <w:shd w:val="clear" w:color="auto" w:fill="EDEDED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b/>
              </w:rPr>
            </w:pPr>
            <w:r w:rsidRPr="00A31885">
              <w:rPr>
                <w:rFonts w:asciiTheme="majorHAnsi" w:hAnsiTheme="majorHAnsi" w:cstheme="majorHAnsi"/>
                <w:b/>
              </w:rPr>
              <w:lastRenderedPageBreak/>
              <w:t>5. Целеви групи и бенефициенти</w:t>
            </w:r>
          </w:p>
        </w:tc>
        <w:tc>
          <w:tcPr>
            <w:tcW w:w="8324" w:type="dxa"/>
            <w:shd w:val="clear" w:color="auto" w:fill="auto"/>
          </w:tcPr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Целеви групи и бенефициенти:</w:t>
            </w:r>
          </w:p>
          <w:p w:rsidR="005B3771" w:rsidRPr="00A31885" w:rsidRDefault="00BD69A9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Директни: учители и директори в общински и държавни училища и ЦПЛР (центрове за подкрепа за личностно развитие)</w:t>
            </w:r>
          </w:p>
          <w:p w:rsidR="005B3771" w:rsidRPr="00A31885" w:rsidRDefault="00BD69A9">
            <w:pPr>
              <w:numPr>
                <w:ilvl w:val="0"/>
                <w:numId w:val="5"/>
              </w:numPr>
              <w:spacing w:after="120"/>
              <w:rPr>
                <w:rFonts w:asciiTheme="majorHAnsi" w:hAnsiTheme="majorHAnsi" w:cstheme="majorHAnsi"/>
              </w:rPr>
            </w:pPr>
            <w:r w:rsidRPr="00A31885">
              <w:rPr>
                <w:rFonts w:asciiTheme="majorHAnsi" w:hAnsiTheme="majorHAnsi" w:cstheme="majorHAnsi"/>
              </w:rPr>
              <w:t>Индиректни: Учениците, с които работят учителите бенефициенти</w:t>
            </w:r>
          </w:p>
          <w:p w:rsidR="005B3771" w:rsidRPr="00A31885" w:rsidRDefault="00BD69A9">
            <w:pPr>
              <w:spacing w:after="120"/>
              <w:rPr>
                <w:rFonts w:asciiTheme="majorHAnsi" w:hAnsiTheme="majorHAnsi" w:cstheme="majorHAnsi"/>
                <w:i/>
              </w:rPr>
            </w:pPr>
            <w:r w:rsidRPr="00A31885">
              <w:rPr>
                <w:rFonts w:asciiTheme="majorHAnsi" w:hAnsiTheme="majorHAnsi" w:cstheme="majorHAnsi"/>
                <w:i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:rsidR="005B3771" w:rsidRPr="00A31885" w:rsidRDefault="005B3771">
            <w:pPr>
              <w:spacing w:after="120"/>
              <w:rPr>
                <w:rFonts w:asciiTheme="majorHAnsi" w:hAnsiTheme="majorHAnsi" w:cstheme="majorHAnsi"/>
                <w:i/>
              </w:rPr>
            </w:pPr>
          </w:p>
        </w:tc>
      </w:tr>
    </w:tbl>
    <w:p w:rsidR="005B3771" w:rsidRPr="00A31885" w:rsidRDefault="005B3771">
      <w:pPr>
        <w:spacing w:after="0" w:line="240" w:lineRule="auto"/>
        <w:rPr>
          <w:rFonts w:asciiTheme="majorHAnsi" w:hAnsiTheme="majorHAnsi" w:cstheme="majorHAnsi"/>
        </w:rPr>
      </w:pPr>
    </w:p>
    <w:p w:rsidR="005B3771" w:rsidRPr="00A31885" w:rsidRDefault="00BD69A9">
      <w:pPr>
        <w:spacing w:after="0" w:line="240" w:lineRule="auto"/>
        <w:rPr>
          <w:rFonts w:asciiTheme="majorHAnsi" w:hAnsiTheme="majorHAnsi" w:cstheme="majorHAnsi"/>
          <w:b/>
        </w:rPr>
      </w:pPr>
      <w:r w:rsidRPr="00A31885">
        <w:rPr>
          <w:rFonts w:asciiTheme="majorHAnsi" w:hAnsiTheme="majorHAnsi" w:cstheme="majorHAnsi"/>
          <w:b/>
        </w:rPr>
        <w:t>Източници на информация:</w:t>
      </w:r>
    </w:p>
    <w:p w:rsidR="005B3771" w:rsidRPr="00A31885" w:rsidRDefault="00BD69A9">
      <w:pPr>
        <w:spacing w:after="0" w:line="240" w:lineRule="auto"/>
        <w:rPr>
          <w:rFonts w:asciiTheme="majorHAnsi" w:hAnsiTheme="majorHAnsi" w:cstheme="majorHAnsi"/>
        </w:rPr>
      </w:pPr>
      <w:r w:rsidRPr="00A31885">
        <w:rPr>
          <w:rFonts w:asciiTheme="majorHAnsi" w:hAnsiTheme="majorHAnsi" w:cstheme="majorHAnsi"/>
        </w:rPr>
        <w:t>Цели за устойчиво развитие на ООН.</w:t>
      </w:r>
    </w:p>
    <w:p w:rsidR="005B3771" w:rsidRPr="00A31885" w:rsidRDefault="00AC2123">
      <w:pPr>
        <w:spacing w:after="0" w:line="240" w:lineRule="auto"/>
        <w:rPr>
          <w:rFonts w:asciiTheme="majorHAnsi" w:hAnsiTheme="majorHAnsi" w:cstheme="majorHAnsi"/>
        </w:rPr>
      </w:pPr>
      <w:hyperlink r:id="rId8">
        <w:r w:rsidR="00BD69A9" w:rsidRPr="00A31885">
          <w:rPr>
            <w:rFonts w:asciiTheme="majorHAnsi" w:hAnsiTheme="majorHAnsi" w:cstheme="majorHAnsi"/>
            <w:u w:val="single"/>
          </w:rPr>
          <w:t>https://www.un.org/sustainabledevelopment/sustainable-development-goals/</w:t>
        </w:r>
      </w:hyperlink>
    </w:p>
    <w:p w:rsidR="005B3771" w:rsidRPr="00A31885" w:rsidRDefault="00BD69A9">
      <w:pPr>
        <w:spacing w:after="0" w:line="240" w:lineRule="auto"/>
        <w:rPr>
          <w:rFonts w:asciiTheme="majorHAnsi" w:hAnsiTheme="majorHAnsi" w:cstheme="majorHAnsi"/>
        </w:rPr>
      </w:pPr>
      <w:r w:rsidRPr="00A31885">
        <w:rPr>
          <w:rFonts w:asciiTheme="majorHAnsi" w:hAnsiTheme="majorHAnsi" w:cstheme="majorHAnsi"/>
        </w:rPr>
        <w:t>-  European Social scoreboard</w:t>
      </w:r>
    </w:p>
    <w:p w:rsidR="005B3771" w:rsidRPr="00A31885" w:rsidRDefault="00AC2123">
      <w:pPr>
        <w:spacing w:after="0" w:line="240" w:lineRule="auto"/>
        <w:rPr>
          <w:rFonts w:asciiTheme="majorHAnsi" w:hAnsiTheme="majorHAnsi" w:cstheme="majorHAnsi"/>
        </w:rPr>
      </w:pPr>
      <w:hyperlink r:id="rId9">
        <w:r w:rsidR="00BD69A9" w:rsidRPr="00A31885">
          <w:rPr>
            <w:rFonts w:asciiTheme="majorHAnsi" w:hAnsiTheme="majorHAnsi" w:cstheme="majorHAnsi"/>
            <w:u w:val="single"/>
          </w:rPr>
          <w:t>https://ec.europa.eu/social/main.jsp?catId=115</w:t>
        </w:r>
      </w:hyperlink>
    </w:p>
    <w:p w:rsidR="005B3771" w:rsidRPr="00A31885" w:rsidRDefault="00BD69A9">
      <w:pPr>
        <w:spacing w:after="0" w:line="240" w:lineRule="auto"/>
        <w:rPr>
          <w:rFonts w:asciiTheme="majorHAnsi" w:hAnsiTheme="majorHAnsi" w:cstheme="majorHAnsi"/>
        </w:rPr>
      </w:pPr>
      <w:r w:rsidRPr="00A31885">
        <w:rPr>
          <w:rFonts w:asciiTheme="majorHAnsi" w:hAnsiTheme="majorHAnsi" w:cstheme="majorHAnsi"/>
        </w:rPr>
        <w:t>-  Education and Training</w:t>
      </w:r>
    </w:p>
    <w:p w:rsidR="005B3771" w:rsidRPr="00A31885" w:rsidRDefault="00BD69A9">
      <w:pPr>
        <w:spacing w:after="0" w:line="240" w:lineRule="auto"/>
        <w:rPr>
          <w:rFonts w:asciiTheme="majorHAnsi" w:hAnsiTheme="majorHAnsi" w:cstheme="majorHAnsi"/>
        </w:rPr>
      </w:pPr>
      <w:r w:rsidRPr="00A31885">
        <w:rPr>
          <w:rFonts w:asciiTheme="majorHAnsi" w:hAnsiTheme="majorHAnsi" w:cstheme="majorHAnsi"/>
        </w:rPr>
        <w:t xml:space="preserve">MONITOR 2018 </w:t>
      </w:r>
    </w:p>
    <w:p w:rsidR="005B3771" w:rsidRPr="00A31885" w:rsidRDefault="00AC2123">
      <w:pPr>
        <w:spacing w:after="0" w:line="240" w:lineRule="auto"/>
        <w:rPr>
          <w:rFonts w:asciiTheme="majorHAnsi" w:hAnsiTheme="majorHAnsi" w:cstheme="majorHAnsi"/>
        </w:rPr>
      </w:pPr>
      <w:hyperlink r:id="rId10">
        <w:r w:rsidR="00BD69A9" w:rsidRPr="00A31885">
          <w:rPr>
            <w:rFonts w:asciiTheme="majorHAnsi" w:hAnsiTheme="majorHAnsi" w:cstheme="majorHAnsi"/>
            <w:u w:val="single"/>
          </w:rPr>
          <w:t>https://www.educacionyfp.gob.es/inee/dam/jcr:009d2726-d54e-4238-9cfd-5a5dd98bbaab/volume-1-2018-education-and-training-monitor-country-analysis.pdf</w:t>
        </w:r>
      </w:hyperlink>
    </w:p>
    <w:p w:rsidR="005B3771" w:rsidRPr="00A31885" w:rsidRDefault="00BD69A9">
      <w:pPr>
        <w:spacing w:after="0" w:line="240" w:lineRule="auto"/>
        <w:rPr>
          <w:rFonts w:asciiTheme="majorHAnsi" w:hAnsiTheme="majorHAnsi" w:cstheme="majorHAnsi"/>
        </w:rPr>
      </w:pPr>
      <w:r w:rsidRPr="00A31885">
        <w:rPr>
          <w:rFonts w:asciiTheme="majorHAnsi" w:hAnsiTheme="majorHAnsi" w:cstheme="majorHAnsi"/>
        </w:rPr>
        <w:t xml:space="preserve">- Рамка за европейско сътрудничество в областта на образованието и обучението </w:t>
      </w:r>
    </w:p>
    <w:p w:rsidR="005B3771" w:rsidRPr="00A31885" w:rsidRDefault="00BD69A9">
      <w:pPr>
        <w:spacing w:after="0" w:line="240" w:lineRule="auto"/>
        <w:rPr>
          <w:rFonts w:asciiTheme="majorHAnsi" w:hAnsiTheme="majorHAnsi" w:cstheme="majorHAnsi"/>
        </w:rPr>
      </w:pPr>
      <w:r w:rsidRPr="00A31885">
        <w:rPr>
          <w:rFonts w:asciiTheme="majorHAnsi" w:hAnsiTheme="majorHAnsi" w:cstheme="majorHAnsi"/>
        </w:rPr>
        <w:t xml:space="preserve">„Образование и обучение 2020“ </w:t>
      </w:r>
    </w:p>
    <w:p w:rsidR="005B3771" w:rsidRPr="00A31885" w:rsidRDefault="00AC2123">
      <w:pPr>
        <w:spacing w:after="0" w:line="240" w:lineRule="auto"/>
        <w:rPr>
          <w:rFonts w:asciiTheme="majorHAnsi" w:hAnsiTheme="majorHAnsi" w:cstheme="majorHAnsi"/>
        </w:rPr>
      </w:pPr>
      <w:hyperlink r:id="rId11">
        <w:r w:rsidR="00BD69A9" w:rsidRPr="00A31885">
          <w:rPr>
            <w:rFonts w:asciiTheme="majorHAnsi" w:hAnsiTheme="majorHAnsi" w:cstheme="majorHAnsi"/>
            <w:u w:val="single"/>
          </w:rPr>
          <w:t>https://ec.europa.eu/education/policies/european-policy-cooperation/et2020-framework_bg</w:t>
        </w:r>
      </w:hyperlink>
    </w:p>
    <w:p w:rsidR="005B3771" w:rsidRPr="00A31885" w:rsidRDefault="00BD69A9">
      <w:pPr>
        <w:spacing w:after="0" w:line="240" w:lineRule="auto"/>
        <w:rPr>
          <w:rFonts w:asciiTheme="majorHAnsi" w:hAnsiTheme="majorHAnsi" w:cstheme="majorHAnsi"/>
        </w:rPr>
      </w:pPr>
      <w:r w:rsidRPr="00A31885">
        <w:rPr>
          <w:rFonts w:asciiTheme="majorHAnsi" w:hAnsiTheme="majorHAnsi" w:cstheme="majorHAnsi"/>
        </w:rPr>
        <w:t>- Проект на визия, цели и приоритети на Национална програма за развитие България 2030</w:t>
      </w:r>
    </w:p>
    <w:p w:rsidR="005B3771" w:rsidRPr="00A31885" w:rsidRDefault="00AC2123">
      <w:pPr>
        <w:spacing w:after="0" w:line="240" w:lineRule="auto"/>
        <w:rPr>
          <w:rFonts w:asciiTheme="majorHAnsi" w:hAnsiTheme="majorHAnsi" w:cstheme="majorHAnsi"/>
        </w:rPr>
      </w:pPr>
      <w:hyperlink r:id="rId12">
        <w:r w:rsidR="00BD69A9" w:rsidRPr="00A31885">
          <w:rPr>
            <w:rFonts w:asciiTheme="majorHAnsi" w:hAnsiTheme="majorHAnsi" w:cstheme="majorHAnsi"/>
            <w:u w:val="single"/>
          </w:rPr>
          <w:t>https://www.strategy.bg/PublicConsultations/View.aspx?lang=bg-BG&amp;Id=4682</w:t>
        </w:r>
      </w:hyperlink>
    </w:p>
    <w:sectPr w:rsidR="005B3771" w:rsidRPr="00A31885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123" w:rsidRDefault="00AC2123">
      <w:pPr>
        <w:spacing w:after="0" w:line="240" w:lineRule="auto"/>
      </w:pPr>
      <w:r>
        <w:separator/>
      </w:r>
    </w:p>
  </w:endnote>
  <w:endnote w:type="continuationSeparator" w:id="0">
    <w:p w:rsidR="00AC2123" w:rsidRDefault="00AC2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771" w:rsidRDefault="00BD69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25AB3">
      <w:rPr>
        <w:noProof/>
        <w:color w:val="000000"/>
      </w:rPr>
      <w:t>2</w:t>
    </w:r>
    <w:r>
      <w:rPr>
        <w:color w:val="000000"/>
      </w:rPr>
      <w:fldChar w:fldCharType="end"/>
    </w:r>
  </w:p>
  <w:p w:rsidR="005B3771" w:rsidRDefault="005B37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123" w:rsidRDefault="00AC2123">
      <w:pPr>
        <w:spacing w:after="0" w:line="240" w:lineRule="auto"/>
      </w:pPr>
      <w:r>
        <w:separator/>
      </w:r>
    </w:p>
  </w:footnote>
  <w:footnote w:type="continuationSeparator" w:id="0">
    <w:p w:rsidR="00AC2123" w:rsidRDefault="00AC2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771" w:rsidRDefault="00BD69A9">
    <w:pPr>
      <w:spacing w:after="0" w:line="276" w:lineRule="auto"/>
      <w:jc w:val="center"/>
      <w:rPr>
        <w:rFonts w:ascii="Candara" w:eastAsia="Candara" w:hAnsi="Candara" w:cs="Candara"/>
        <w:b/>
        <w:sz w:val="20"/>
        <w:szCs w:val="20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4727278</wp:posOffset>
          </wp:positionH>
          <wp:positionV relativeFrom="paragraph">
            <wp:posOffset>0</wp:posOffset>
          </wp:positionV>
          <wp:extent cx="1567815" cy="498475"/>
          <wp:effectExtent l="0" t="0" r="0" b="0"/>
          <wp:wrapSquare wrapText="bothSides" distT="0" distB="0" distL="114300" distR="114300"/>
          <wp:docPr id="2" name="image1.png" descr="http://sf.mon.bg/attachments/542e6aa473f9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http://sf.mon.bg/attachments/542e6aa473f9f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67815" cy="498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B3771" w:rsidRDefault="00BD69A9">
    <w:pPr>
      <w:spacing w:after="0" w:line="276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Тематична работна група за разработване на</w: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-416166</wp:posOffset>
          </wp:positionH>
          <wp:positionV relativeFrom="paragraph">
            <wp:posOffset>-428140</wp:posOffset>
          </wp:positionV>
          <wp:extent cx="1550670" cy="524510"/>
          <wp:effectExtent l="0" t="0" r="0" b="0"/>
          <wp:wrapSquare wrapText="bothSides" distT="0" distB="0" distL="114300" distR="114300"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50670" cy="5245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7977505</wp:posOffset>
          </wp:positionH>
          <wp:positionV relativeFrom="paragraph">
            <wp:posOffset>0</wp:posOffset>
          </wp:positionV>
          <wp:extent cx="1567815" cy="498475"/>
          <wp:effectExtent l="0" t="0" r="0" b="0"/>
          <wp:wrapSquare wrapText="bothSides" distT="0" distB="0" distL="114300" distR="114300"/>
          <wp:docPr id="3" name="image1.png" descr="http://sf.mon.bg/attachments/542e6aa473f9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http://sf.mon.bg/attachments/542e6aa473f9f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67815" cy="498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B3771" w:rsidRDefault="00BD69A9">
    <w:pPr>
      <w:spacing w:after="0" w:line="276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Оперативна програма „Наука и образование“ 2021-2027 г.</w:t>
    </w:r>
    <w:r>
      <w:rPr>
        <w:noProof/>
        <w:lang w:val="en-US" w:eastAsia="en-US"/>
      </w:rPr>
      <mc:AlternateContent>
        <mc:Choice Requires="wpg">
          <w:drawing>
            <wp:anchor distT="0" distB="0" distL="0" distR="0" simplePos="0" relativeHeight="251661312" behindDoc="0" locked="0" layoutInCell="1" hidden="0" allowOverlap="1">
              <wp:simplePos x="0" y="0"/>
              <wp:positionH relativeFrom="column">
                <wp:posOffset>0</wp:posOffset>
              </wp:positionH>
              <wp:positionV relativeFrom="paragraph">
                <wp:posOffset>203200</wp:posOffset>
              </wp:positionV>
              <wp:extent cx="6588000" cy="12700"/>
              <wp:effectExtent l="0" t="0" r="0" b="0"/>
              <wp:wrapSquare wrapText="bothSides" distT="0" distB="0" distL="0" distR="0"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052000" y="3780000"/>
                        <a:ext cx="6588000" cy="0"/>
                      </a:xfrm>
                      <a:prstGeom prst="straightConnector1">
                        <a:avLst/>
                      </a:prstGeom>
                      <a:noFill/>
                      <a:ln w="12700" cap="flat" cmpd="sng">
                        <a:solidFill>
                          <a:srgbClr val="A5A5A5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203200</wp:posOffset>
              </wp:positionV>
              <wp:extent cx="6588000" cy="12700"/>
              <wp:effectExtent b="0" l="0" r="0" t="0"/>
              <wp:wrapSquare wrapText="bothSides" distB="0" distT="0" distL="0" distR="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880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5B3771" w:rsidRDefault="005B37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</w:rPr>
    </w:pPr>
  </w:p>
  <w:tbl>
    <w:tblPr>
      <w:tblStyle w:val="a0"/>
      <w:tblW w:w="10206" w:type="dxa"/>
      <w:tblInd w:w="-5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0206"/>
    </w:tblGrid>
    <w:tr w:rsidR="005B3771">
      <w:trPr>
        <w:trHeight w:val="380"/>
      </w:trPr>
      <w:tc>
        <w:tcPr>
          <w:tcW w:w="1020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shd w:val="clear" w:color="auto" w:fill="DEEBF6"/>
        </w:tcPr>
        <w:p w:rsidR="005B3771" w:rsidRDefault="00BD69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color w:val="000000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</w:rPr>
            <w:t>ФИШ ЗА ПРЕДСТАВЯНЕ НА ПРЕДЛОЖЕНИЯ</w:t>
          </w:r>
        </w:p>
      </w:tc>
    </w:tr>
  </w:tbl>
  <w:p w:rsidR="005B3771" w:rsidRDefault="005B37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</w:rPr>
    </w:pPr>
  </w:p>
  <w:p w:rsidR="005B3771" w:rsidRDefault="00BD69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567" w:right="-567"/>
      <w:jc w:val="both"/>
      <w:rPr>
        <w:rFonts w:ascii="Times New Roman" w:eastAsia="Times New Roman" w:hAnsi="Times New Roman" w:cs="Times New Roman"/>
        <w:b/>
        <w:color w:val="000000"/>
        <w:u w:val="single"/>
      </w:rPr>
    </w:pPr>
    <w:r>
      <w:rPr>
        <w:rFonts w:ascii="Times New Roman" w:eastAsia="Times New Roman" w:hAnsi="Times New Roman" w:cs="Times New Roman"/>
        <w:b/>
        <w:color w:val="000000"/>
        <w:u w:val="single"/>
      </w:rPr>
      <w:t xml:space="preserve">Попълнен от: </w:t>
    </w:r>
    <w:r>
      <w:rPr>
        <w:rFonts w:ascii="Times New Roman" w:eastAsia="Times New Roman" w:hAnsi="Times New Roman" w:cs="Times New Roman"/>
        <w:b/>
        <w:u w:val="single"/>
      </w:rPr>
      <w:t xml:space="preserve">Нели Колева Колева, </w:t>
    </w:r>
    <w:hyperlink r:id="rId4">
      <w:r>
        <w:rPr>
          <w:rFonts w:ascii="Times New Roman" w:eastAsia="Times New Roman" w:hAnsi="Times New Roman" w:cs="Times New Roman"/>
          <w:b/>
          <w:color w:val="1155CC"/>
          <w:u w:val="single"/>
        </w:rPr>
        <w:t>n.koleva@zaednovchas.bg</w:t>
      </w:r>
    </w:hyperlink>
    <w:r>
      <w:rPr>
        <w:rFonts w:ascii="Times New Roman" w:eastAsia="Times New Roman" w:hAnsi="Times New Roman" w:cs="Times New Roman"/>
        <w:b/>
        <w:u w:val="single"/>
      </w:rPr>
      <w:t xml:space="preserve">  +359893322365</w:t>
    </w:r>
  </w:p>
  <w:p w:rsidR="005B3771" w:rsidRDefault="005B37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8254C"/>
    <w:multiLevelType w:val="multilevel"/>
    <w:tmpl w:val="2D882C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D4E6538"/>
    <w:multiLevelType w:val="multilevel"/>
    <w:tmpl w:val="CCE281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4E22466D"/>
    <w:multiLevelType w:val="multilevel"/>
    <w:tmpl w:val="284C74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F647F36"/>
    <w:multiLevelType w:val="multilevel"/>
    <w:tmpl w:val="057E35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6FF5695"/>
    <w:multiLevelType w:val="multilevel"/>
    <w:tmpl w:val="99FE40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771"/>
    <w:rsid w:val="005B3771"/>
    <w:rsid w:val="00925AB3"/>
    <w:rsid w:val="00A31885"/>
    <w:rsid w:val="00AC2123"/>
    <w:rsid w:val="00BD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2BF4-437D-436F-83E0-A53E1141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ustainabledevelopment/sustainable-development-goals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earningtobe.net/" TargetMode="External"/><Relationship Id="rId12" Type="http://schemas.openxmlformats.org/officeDocument/2006/relationships/hyperlink" Target="https://www.strategy.bg/PublicConsultations/View.aspx?lang=bg-BG&amp;Id=468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c.europa.eu/education/policies/european-policy-cooperation/et2020-framework_b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c.europa.eu/social/main.jsp?catId=115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n.koleva@zaednovchas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Yoana Bozhilova</dc:creator>
  <cp:lastModifiedBy>Yoana Bozhilova</cp:lastModifiedBy>
  <cp:revision>2</cp:revision>
  <dcterms:created xsi:type="dcterms:W3CDTF">2019-12-03T11:18:00Z</dcterms:created>
  <dcterms:modified xsi:type="dcterms:W3CDTF">2019-12-03T11:18:00Z</dcterms:modified>
</cp:coreProperties>
</file>